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left"/>
        <w:tblInd w:w="0" w:type="dxa"/>
        <w:tblBorders>
          <w:top w:val="nil"/>
          <w:left w:val="nil"/>
          <w:bottom w:val="nil"/>
          <w:insideH w:val="nil"/>
          <w:right w:val="nil"/>
          <w:insideV w:val="nil"/>
        </w:tblBorders>
        <w:tblCellMar>
          <w:top w:w="0" w:type="dxa"/>
          <w:left w:w="0" w:type="dxa"/>
          <w:bottom w:w="0" w:type="dxa"/>
          <w:right w:w="454" w:type="dxa"/>
        </w:tblCellMar>
      </w:tblPr>
      <w:tblGrid>
        <w:gridCol w:w="5379"/>
        <w:gridCol w:w="5269"/>
        <w:gridCol w:w="2393"/>
        <w:gridCol w:w="2404"/>
      </w:tblGrid>
      <w:tr>
        <w:trPr>
          <w:cantSplit w:val="false"/>
        </w:trPr>
        <w:tc>
          <w:tcPr>
            <w:tcW w:w="5379" w:type="dxa"/>
            <w:vMerge w:val="restart"/>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32"/>
                <w:szCs w:val="32"/>
              </w:rPr>
            </w:pPr>
            <w:r>
              <w:rPr>
                <w:rFonts w:ascii="Arial Narrow" w:hAnsi="Arial Narrow"/>
                <w:sz w:val="32"/>
                <w:szCs w:val="32"/>
              </w:rPr>
              <w:t>8. Quellenverweise</w:t>
            </w:r>
          </w:p>
          <w:p>
            <w:pPr>
              <w:pStyle w:val="Normal"/>
              <w:suppressAutoHyphens w:val="false"/>
              <w:spacing w:before="0" w:after="113"/>
              <w:rPr>
                <w:rFonts w:ascii="Arial Narrow" w:hAnsi="Arial Narrow"/>
                <w:sz w:val="22"/>
                <w:szCs w:val="22"/>
              </w:rPr>
            </w:pPr>
            <w:r>
              <w:rPr>
                <w:rFonts w:ascii="Arial Narrow" w:hAnsi="Arial Narrow"/>
                <w:sz w:val="22"/>
                <w:szCs w:val="22"/>
              </w:rPr>
            </w:r>
          </w:p>
          <w:p>
            <w:pPr>
              <w:pStyle w:val="Normal"/>
              <w:suppressAutoHyphens w:val="false"/>
              <w:spacing w:before="0" w:after="113"/>
              <w:rPr>
                <w:rFonts w:ascii="Arial Narrow" w:hAnsi="Arial Narrow"/>
                <w:sz w:val="22"/>
                <w:szCs w:val="22"/>
              </w:rPr>
            </w:pPr>
            <w:r>
              <w:rPr>
                <w:rFonts w:ascii="Arial Narrow" w:hAnsi="Arial Narrow"/>
                <w:sz w:val="22"/>
                <w:szCs w:val="22"/>
              </w:rPr>
              <w:t xml:space="preserve">Es gibt verschiedene Verfahren, wie die Quelle eines Zitats oder anderer Inhalte mit einem </w:t>
            </w:r>
            <w:bookmarkStart w:id="0" w:name="__DdeLink__534_1759238855"/>
            <w:r>
              <w:rPr>
                <w:rFonts w:ascii="Arial Narrow" w:hAnsi="Arial Narrow"/>
                <w:sz w:val="22"/>
                <w:szCs w:val="22"/>
              </w:rPr>
              <w:t>Quellenverweis</w:t>
            </w:r>
            <w:bookmarkEnd w:id="0"/>
            <w:r>
              <w:rPr>
                <w:rFonts w:ascii="Arial Narrow" w:hAnsi="Arial Narrow"/>
                <w:sz w:val="22"/>
                <w:szCs w:val="22"/>
              </w:rPr>
              <w:t xml:space="preserve"> (auch: Kurzbeleg) angegeben werden kann, d. h. wie eine Quelle unmittelbar nach der Textstelle kenntlich gemacht und im angehängten Quellenverzeichnis sicher und zügig gefunden wird.</w:t>
            </w:r>
          </w:p>
          <w:p>
            <w:pPr>
              <w:pStyle w:val="Normal"/>
              <w:suppressAutoHyphens w:val="false"/>
              <w:spacing w:before="0" w:after="113"/>
              <w:rPr>
                <w:rFonts w:ascii="Arial Narrow" w:hAnsi="Arial Narrow"/>
                <w:sz w:val="22"/>
                <w:szCs w:val="22"/>
              </w:rPr>
            </w:pPr>
            <w:r>
              <w:rPr>
                <w:rFonts w:ascii="Arial Narrow" w:hAnsi="Arial Narrow"/>
                <w:sz w:val="22"/>
                <w:szCs w:val="22"/>
              </w:rPr>
              <w:t xml:space="preserve">Bei der sog. amerikanischen Zitierweise (Harvard-System) wird ein Quellenverweis unmittelbar nach der Textstelle gesetzt, welcher lediglich Autor, Jahr und Seitenzahl nennt </w:t>
              <w:br/>
              <w:t xml:space="preserve">(Xxxx Jahr, S. x) oder auch kürzer mit der Nummer </w:t>
              <w:br/>
              <w:t>der Quelle und Seitenzahl (x, S. x)</w:t>
            </w:r>
          </w:p>
          <w:p>
            <w:pPr>
              <w:pStyle w:val="Normal"/>
              <w:suppressAutoHyphens w:val="false"/>
              <w:spacing w:before="0" w:after="113"/>
              <w:rPr>
                <w:rFonts w:ascii="Arial Narrow" w:hAnsi="Arial Narrow"/>
                <w:sz w:val="22"/>
                <w:szCs w:val="22"/>
              </w:rPr>
            </w:pPr>
            <w:r>
              <w:rPr>
                <w:rFonts w:ascii="Arial Narrow" w:hAnsi="Arial Narrow"/>
                <w:sz w:val="22"/>
                <w:szCs w:val="22"/>
              </w:rPr>
              <w:t>Bei der sog. deutschen Zitierweise arbeitet man mit Fußnoten, die jeweils direkt hinter dem Zitat angebracht werden. In der Fußnote wird bei der ersten Nennung die vollständige Quellenangabe angeführt, bei weiteren Nennungen schreibt man als Kurzform „a. a. O.“ (d.</w:t>
            </w:r>
            <w:r>
              <w:rPr>
                <w:rFonts w:ascii="Arial Narrow" w:hAnsi="Arial Narrow"/>
                <w:w w:val="50"/>
                <w:sz w:val="22"/>
                <w:szCs w:val="22"/>
              </w:rPr>
              <w:t xml:space="preserve"> </w:t>
            </w:r>
            <w:r>
              <w:rPr>
                <w:rFonts w:ascii="Arial Narrow" w:hAnsi="Arial Narrow"/>
                <w:sz w:val="22"/>
                <w:szCs w:val="22"/>
              </w:rPr>
              <w:t>h. am angegebenen Ort). Anstatt Fußnoten gibt es auch Endnoten, welche nicht am Seitenende, sondern am Ende eines Kapitels oder der gesamten Aufzeichnungen gesetzt werden.</w:t>
            </w:r>
          </w:p>
          <w:p>
            <w:pPr>
              <w:pStyle w:val="Normal"/>
              <w:spacing w:before="0" w:after="113"/>
              <w:rPr>
                <w:rFonts w:ascii="Arial Narrow" w:hAnsi="Arial Narrow"/>
                <w:sz w:val="22"/>
                <w:szCs w:val="22"/>
              </w:rPr>
            </w:pPr>
            <w:r>
              <w:rPr>
                <w:rFonts w:ascii="Arial Narrow" w:hAnsi="Arial Narrow"/>
                <w:sz w:val="22"/>
                <w:szCs w:val="22"/>
              </w:rPr>
              <w:t>Mit dem Harvard-System wird der Anmerkungsapparat im Textteil gering gehalten. Allerdings muss beim Aufsuchen der Quellenangaben viel geblättert werden.</w:t>
            </w:r>
          </w:p>
          <w:p>
            <w:pPr>
              <w:pStyle w:val="Normal"/>
              <w:spacing w:before="0" w:after="113"/>
              <w:rPr>
                <w:rFonts w:ascii="Arial Narrow" w:hAnsi="Arial Narrow"/>
                <w:sz w:val="22"/>
                <w:szCs w:val="22"/>
              </w:rPr>
            </w:pPr>
            <w:r>
              <w:rPr>
                <w:rFonts w:ascii="Arial Narrow" w:hAnsi="Arial Narrow"/>
                <w:sz w:val="22"/>
                <w:szCs w:val="22"/>
              </w:rPr>
              <w:t>Immer müssen alle Quellen in einem Quellenverzeichnis exakt aufgeführt sein, d.</w:t>
            </w:r>
            <w:r>
              <w:rPr>
                <w:rFonts w:ascii="Arial Narrow" w:hAnsi="Arial Narrow"/>
                <w:w w:val="50"/>
                <w:sz w:val="22"/>
                <w:szCs w:val="22"/>
              </w:rPr>
              <w:t xml:space="preserve"> </w:t>
            </w:r>
            <w:r>
              <w:rPr>
                <w:rFonts w:ascii="Arial Narrow" w:hAnsi="Arial Narrow"/>
                <w:sz w:val="22"/>
                <w:szCs w:val="22"/>
              </w:rPr>
              <w:t>h. vollständig und nach Verfasser alphabetisch geordnet und nummeriert.</w:t>
            </w:r>
          </w:p>
          <w:p>
            <w:pPr>
              <w:pStyle w:val="Normal"/>
              <w:spacing w:before="0" w:after="113"/>
              <w:rPr>
                <w:rFonts w:ascii="Arial Narrow" w:hAnsi="Arial Narrow"/>
                <w:sz w:val="22"/>
                <w:szCs w:val="22"/>
              </w:rPr>
            </w:pPr>
            <w:r>
              <w:rPr>
                <w:rFonts w:ascii="Arial Narrow" w:hAnsi="Arial Narrow"/>
                <w:sz w:val="22"/>
                <w:szCs w:val="22"/>
              </w:rPr>
              <w:t>Paraphrasen werden mit Nennung des Autors eingeleitet und der Quellenverweis beginnt mit „vgl.“, z.</w:t>
            </w:r>
            <w:r>
              <w:rPr>
                <w:rFonts w:ascii="Arial Narrow" w:hAnsi="Arial Narrow"/>
                <w:w w:val="50"/>
                <w:sz w:val="22"/>
                <w:szCs w:val="22"/>
              </w:rPr>
              <w:t xml:space="preserve"> </w:t>
            </w:r>
            <w:r>
              <w:rPr>
                <w:rFonts w:ascii="Arial Narrow" w:hAnsi="Arial Narrow"/>
                <w:sz w:val="22"/>
                <w:szCs w:val="22"/>
              </w:rPr>
              <w:t>B.:</w:t>
              <w:br/>
              <w:t>Autor schreibt, dass … (vgl. Xxxx Jahr, S. x)</w:t>
            </w:r>
          </w:p>
          <w:p>
            <w:pPr>
              <w:pStyle w:val="Normal"/>
              <w:spacing w:before="0" w:after="113"/>
              <w:rPr>
                <w:rFonts w:ascii="Arial Narrow" w:hAnsi="Arial Narrow"/>
                <w:sz w:val="22"/>
                <w:szCs w:val="22"/>
              </w:rPr>
            </w:pPr>
            <w:r>
              <w:rPr>
                <w:rFonts w:ascii="Arial Narrow" w:hAnsi="Arial Narrow"/>
                <w:sz w:val="22"/>
                <w:szCs w:val="22"/>
              </w:rPr>
            </w:r>
          </w:p>
          <w:p>
            <w:pPr>
              <w:pStyle w:val="Normal"/>
              <w:spacing w:before="0" w:after="113"/>
              <w:rPr>
                <w:rFonts w:ascii="Arial Narrow" w:hAnsi="Arial Narrow"/>
                <w:sz w:val="22"/>
                <w:szCs w:val="22"/>
              </w:rPr>
            </w:pPr>
            <w:r>
              <w:rPr>
                <w:rFonts w:ascii="Arial Narrow" w:hAnsi="Arial Narrow"/>
                <w:sz w:val="22"/>
                <w:szCs w:val="22"/>
              </w:rPr>
            </w:r>
          </w:p>
          <w:p>
            <w:pPr>
              <w:pStyle w:val="Normal"/>
              <w:spacing w:before="0" w:after="113"/>
              <w:rPr>
                <w:rFonts w:ascii="Arial Narrow" w:hAnsi="Arial Narrow"/>
                <w:sz w:val="22"/>
                <w:szCs w:val="22"/>
              </w:rPr>
            </w:pPr>
            <w:r>
              <w:rPr>
                <w:rFonts w:ascii="Arial Narrow" w:hAnsi="Arial Narrow"/>
                <w:sz w:val="22"/>
                <w:szCs w:val="22"/>
              </w:rPr>
              <w:t>Nach: Formale Hinweise für wissenschaftliche Arbeiten der Europa-Universität Flensburg. Autor nicht angegeben.</w:t>
              <w:br/>
            </w:r>
            <w:hyperlink r:id="rId2">
              <w:r>
                <w:rPr>
                  <w:rStyle w:val="Internetlink"/>
                  <w:rFonts w:ascii="Arial Narrow" w:hAnsi="Arial Narrow"/>
                  <w:sz w:val="22"/>
                  <w:szCs w:val="22"/>
                </w:rPr>
                <w:t>https://www.uni-flensburg.de/schulpaedagogik/studium-und-lehre/hinweise-zum-wissenschaftlichen-arbeiten/</w:t>
              </w:r>
            </w:hyperlink>
            <w:r>
              <w:rPr>
                <w:rFonts w:ascii="Arial Narrow" w:hAnsi="Arial Narrow"/>
                <w:sz w:val="22"/>
                <w:szCs w:val="22"/>
              </w:rPr>
              <w:t xml:space="preserve"> 180821|16.54, *.pdf zum downloaden</w:t>
            </w:r>
          </w:p>
        </w:tc>
        <w:tc>
          <w:tcPr>
            <w:tcW w:w="5269" w:type="dxa"/>
            <w:vMerge w:val="restart"/>
            <w:tcBorders>
              <w:top w:val="nil"/>
              <w:left w:val="nil"/>
              <w:bottom w:val="nil"/>
              <w:insideH w:val="nil"/>
              <w:right w:val="nil"/>
              <w:insideV w:val="nil"/>
            </w:tcBorders>
            <w:shd w:fill="FFFFFF" w:val="clear"/>
          </w:tcPr>
          <w:p>
            <w:pPr>
              <w:pStyle w:val="TabellenInhalt"/>
              <w:suppressAutoHyphens w:val="false"/>
              <w:spacing w:before="0" w:after="113"/>
              <w:rPr>
                <w:rFonts w:eastAsia="Arial Unicode MS" w:cs="Lucida Sans" w:ascii="Arial Narrow" w:hAnsi="Arial Narrow"/>
                <w:color w:val="00000A"/>
                <w:sz w:val="32"/>
                <w:szCs w:val="32"/>
                <w:lang w:val="de-DE" w:eastAsia="zh-CN" w:bidi="hi-IN"/>
              </w:rPr>
            </w:pPr>
            <w:bookmarkStart w:id="1" w:name="__DdeLink__474_2048737607"/>
            <w:bookmarkEnd w:id="1"/>
            <w:r>
              <w:rPr>
                <w:rFonts w:eastAsia="Arial Unicode MS" w:cs="Lucida Sans" w:ascii="Arial Narrow" w:hAnsi="Arial Narrow"/>
                <w:color w:val="00000A"/>
                <w:sz w:val="32"/>
                <w:szCs w:val="32"/>
                <w:lang w:val="de-DE" w:eastAsia="zh-CN" w:bidi="hi-IN"/>
              </w:rPr>
              <w:t>Farbe und Geschmack</w:t>
            </w:r>
          </w:p>
          <w:p>
            <w:pPr>
              <w:pStyle w:val="TabellenInhalt"/>
              <w:suppressAutoHyphens w:val="false"/>
              <w:spacing w:before="0" w:after="113"/>
              <w:rPr>
                <w:rFonts w:ascii="Arial Narrow" w:hAnsi="Arial Narrow"/>
                <w:color w:val="B3B3B3"/>
                <w:sz w:val="22"/>
                <w:szCs w:val="24"/>
              </w:rPr>
            </w:pPr>
            <w:r>
              <w:rPr>
                <w:rFonts w:ascii="Arial Narrow" w:hAnsi="Arial Narrow"/>
                <w:color w:val="B3B3B3"/>
                <w:sz w:val="22"/>
                <w:szCs w:val="24"/>
              </w:rPr>
            </w:r>
          </w:p>
          <w:p>
            <w:pPr>
              <w:pStyle w:val="TabellenInhalt"/>
              <w:suppressAutoHyphens w:val="false"/>
              <w:spacing w:before="0" w:after="113"/>
              <w:rPr>
                <w:rFonts w:ascii="Arial Narrow" w:hAnsi="Arial Narrow"/>
                <w:color w:val="B3B3B3"/>
                <w:sz w:val="22"/>
                <w:szCs w:val="22"/>
              </w:rPr>
            </w:pPr>
            <w:r>
              <w:rPr>
                <w:rFonts w:ascii="Arial Narrow" w:hAnsi="Arial Narrow"/>
                <w:color w:val="B3B3B3"/>
                <w:sz w:val="22"/>
                <w:szCs w:val="22"/>
              </w:rPr>
              <w:t>Cupcake ipsum dolor. Sit amet cookie muffin. Oat cake sugar plum I love tootsie roll toffee dragee topping sweet roll. Sesame snaps applicake I love lemon drops topping I love donut cheesecake unerdwear.com. Tootsie roll I love chocolate cake tootsie roll fruitcake. Pudding halvah apple pie I love dragee cookie.</w:t>
            </w:r>
          </w:p>
          <w:p>
            <w:pPr>
              <w:pStyle w:val="TabellenInhalt"/>
              <w:suppressAutoHyphens w:val="false"/>
              <w:spacing w:before="0" w:after="113"/>
              <w:rPr>
                <w:rFonts w:ascii="Arial Narrow" w:hAnsi="Arial Narrow"/>
                <w:color w:val="B3B3B3"/>
                <w:sz w:val="22"/>
                <w:szCs w:val="22"/>
              </w:rPr>
            </w:pPr>
            <w:r>
              <w:rPr>
                <w:rFonts w:ascii="Arial Narrow" w:hAnsi="Arial Narrow"/>
                <w:color w:val="B3B3B3"/>
                <w:sz w:val="22"/>
                <w:szCs w:val="22"/>
              </w:rPr>
              <w:t>Chocolate bar caramels muffin chocolate bar biscuit oat cake jujubes. Jelly-o brownie jujubes wafer. Jelly marzipan biscuit gingerbread toffee chocolate. I love chocolate bar candy canes gummies. Lemon drops icing croissant I love dragee bear claw marshmallow pie. Tiramisu jelly I love. Ice cream I love tart bear claw dragee I love bear claw pudding cupcake.</w:t>
            </w:r>
          </w:p>
          <w:p>
            <w:pPr>
              <w:pStyle w:val="TabellenInhalt"/>
              <w:suppressAutoHyphens w:val="false"/>
              <w:spacing w:before="0" w:after="113"/>
              <w:rPr>
                <w:rFonts w:ascii="Arial Narrow" w:hAnsi="Arial Narrow"/>
                <w:sz w:val="22"/>
                <w:szCs w:val="22"/>
              </w:rPr>
            </w:pPr>
            <w:r>
              <w:rPr>
                <w:rFonts w:ascii="Arial Narrow" w:hAnsi="Arial Narrow"/>
                <w:sz w:val="22"/>
                <w:szCs w:val="22"/>
              </w:rPr>
              <w:t>„</w:t>
            </w:r>
            <w:r>
              <w:rPr>
                <w:rFonts w:ascii="Arial Narrow" w:hAnsi="Arial Narrow"/>
                <w:sz w:val="22"/>
                <w:szCs w:val="22"/>
              </w:rPr>
              <w:t>Farbe ist etwas sehr Subjektives; anders als in der Musik, die das absolute Gehör kennt, gibt es kein absolutes Farbempfinden.“ [Basting 2000, S. 64 u.m.]</w:t>
              <w:br/>
              <w:t xml:space="preserve">                    [2, S. 64]</w:t>
            </w:r>
          </w:p>
          <w:p>
            <w:pPr>
              <w:pStyle w:val="TabellenInhalt"/>
              <w:suppressAutoHyphens w:val="false"/>
              <w:spacing w:before="0" w:after="113"/>
              <w:rPr>
                <w:rFonts w:ascii="Arial Narrow" w:hAnsi="Arial Narrow"/>
                <w:color w:val="B3B3B3"/>
                <w:sz w:val="22"/>
                <w:szCs w:val="22"/>
              </w:rPr>
            </w:pPr>
            <w:bookmarkStart w:id="2" w:name="__DdeLink__474_20487376071"/>
            <w:bookmarkEnd w:id="2"/>
            <w:r>
              <w:rPr>
                <w:rFonts w:ascii="Arial Narrow" w:hAnsi="Arial Narrow"/>
                <w:color w:val="B3B3B3"/>
                <w:sz w:val="22"/>
                <w:szCs w:val="22"/>
              </w:rPr>
              <w:t xml:space="preserve">Cotton candy marshmallow cupcake bonbon cupcake toffee brownie tootsie roll croissant. Pudding sweet lollipop cake pie macaroon. Candy ice cream sesame snaps apple pie unerdwear.com tart souffle wafer. Pastry carrot cake I love sweet roll I love sugar plum. </w:t>
            </w:r>
          </w:p>
        </w:tc>
        <w:tc>
          <w:tcPr>
            <w:tcW w:w="4797" w:type="dxa"/>
            <w:gridSpan w:val="2"/>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rFonts w:eastAsia="Arial Unicode MS" w:cs="Lucida Sans" w:ascii="Arial Narrow" w:hAnsi="Arial Narrow"/>
                <w:color w:val="00000A"/>
                <w:sz w:val="32"/>
                <w:szCs w:val="32"/>
                <w:lang w:val="de-DE" w:eastAsia="zh-CN" w:bidi="hi-IN"/>
              </w:rPr>
            </w:pPr>
            <w:r>
              <w:rPr>
                <w:rFonts w:eastAsia="Arial Unicode MS" w:cs="Lucida Sans" w:ascii="Arial Narrow" w:hAnsi="Arial Narrow"/>
                <w:color w:val="00000A"/>
                <w:sz w:val="32"/>
                <w:szCs w:val="32"/>
                <w:lang w:val="de-DE" w:eastAsia="zh-CN" w:bidi="hi-IN"/>
              </w:rPr>
              <w:t>Farbe und Geschmack</w:t>
            </w:r>
          </w:p>
          <w:p>
            <w:pPr>
              <w:pStyle w:val="TabellenInhalt"/>
              <w:suppressAutoHyphens w:val="false"/>
              <w:spacing w:before="0" w:after="113"/>
              <w:rPr>
                <w:rFonts w:ascii="Arial Narrow" w:hAnsi="Arial Narrow"/>
                <w:color w:val="B3B3B3"/>
                <w:sz w:val="22"/>
                <w:szCs w:val="24"/>
              </w:rPr>
            </w:pPr>
            <w:r>
              <w:rPr>
                <w:rFonts w:ascii="Arial Narrow" w:hAnsi="Arial Narrow"/>
                <w:color w:val="B3B3B3"/>
                <w:sz w:val="22"/>
                <w:szCs w:val="24"/>
              </w:rPr>
            </w:r>
          </w:p>
          <w:p>
            <w:pPr>
              <w:pStyle w:val="TabellenInhalt"/>
              <w:suppressAutoHyphens w:val="false"/>
              <w:spacing w:before="0" w:after="113"/>
              <w:rPr>
                <w:rFonts w:ascii="Arial Narrow" w:hAnsi="Arial Narrow"/>
                <w:color w:val="B3B3B3"/>
                <w:sz w:val="22"/>
                <w:szCs w:val="22"/>
              </w:rPr>
            </w:pPr>
            <w:r>
              <w:rPr>
                <w:rFonts w:ascii="Arial Narrow" w:hAnsi="Arial Narrow"/>
                <w:color w:val="B3B3B3"/>
                <w:sz w:val="22"/>
                <w:szCs w:val="22"/>
              </w:rPr>
              <w:t>Cupcake ipsum dolor. Sit amet cookie muffin. Oat cake sugar plum I love tootsie roll toffee dragee topping sweet roll. Sesame snaps applicake I love lemon drops topping I love donut cheesecake unerdwear.com. Tootsie roll I love chocolate cake tootsie roll fruitcake. Pudding halvah apple pie I love dragee cookie.</w:t>
            </w:r>
          </w:p>
          <w:p>
            <w:pPr>
              <w:pStyle w:val="TabellenInhalt"/>
              <w:suppressAutoHyphens w:val="false"/>
              <w:spacing w:before="0" w:after="113"/>
              <w:rPr>
                <w:rFonts w:ascii="Arial Narrow" w:hAnsi="Arial Narrow"/>
                <w:color w:val="B3B3B3"/>
                <w:sz w:val="22"/>
                <w:szCs w:val="22"/>
              </w:rPr>
            </w:pPr>
            <w:r>
              <w:rPr>
                <w:rFonts w:ascii="Arial Narrow" w:hAnsi="Arial Narrow"/>
                <w:color w:val="B3B3B3"/>
                <w:sz w:val="22"/>
                <w:szCs w:val="22"/>
              </w:rPr>
              <w:t>Chocolate bar caramels muffin chocolate bar biscuit oat cake jujubes. Jelly-o brownie jujubes wafer. Jelly marzipan biscuit gingerbread toffee chocolate. I love chocolate bar candy canes gummies. Lemon drops icing croissant I love dragee bear claw marshmallow pie. Tiramisu jelly I love. Ice cream I love tart bear claw dragee I love bear claw pudding cupcake.</w:t>
            </w:r>
          </w:p>
          <w:p>
            <w:pPr>
              <w:pStyle w:val="TabellenInhalt"/>
              <w:suppressAutoHyphens w:val="false"/>
              <w:spacing w:before="0" w:after="113"/>
              <w:rPr>
                <w:rFonts w:ascii="Arial Narrow" w:hAnsi="Arial Narrow"/>
                <w:sz w:val="22"/>
                <w:szCs w:val="22"/>
                <w:vertAlign w:val="superscript"/>
              </w:rPr>
            </w:pPr>
            <w:r>
              <w:rPr>
                <w:rFonts w:ascii="Arial Narrow" w:hAnsi="Arial Narrow"/>
                <w:sz w:val="22"/>
                <w:szCs w:val="22"/>
              </w:rPr>
              <w:t>„</w:t>
            </w:r>
            <w:r>
              <w:rPr>
                <w:rFonts w:ascii="Arial Narrow" w:hAnsi="Arial Narrow"/>
                <w:sz w:val="22"/>
                <w:szCs w:val="22"/>
              </w:rPr>
              <w:t>Farbe ist etwas sehr Subjektives; anders als in der Musik, die das absolute Gehör kennt, gibt es kein absolutes Farbempfinden.“</w:t>
            </w:r>
            <w:r>
              <w:rPr>
                <w:rFonts w:ascii="Arial Narrow" w:hAnsi="Arial Narrow"/>
                <w:sz w:val="22"/>
                <w:szCs w:val="22"/>
                <w:vertAlign w:val="superscript"/>
              </w:rPr>
              <w:t>1</w:t>
            </w:r>
          </w:p>
          <w:p>
            <w:pPr>
              <w:pStyle w:val="TabellenInhalt"/>
              <w:suppressAutoHyphens w:val="false"/>
              <w:spacing w:before="0" w:after="113"/>
              <w:rPr>
                <w:rFonts w:eastAsia="Arial Unicode MS" w:cs="Lucida Sans" w:ascii="Arial Narrow" w:hAnsi="Arial Narrow"/>
                <w:color w:val="B3B3B3"/>
                <w:sz w:val="22"/>
                <w:szCs w:val="22"/>
                <w:lang w:val="de-DE" w:eastAsia="zh-CN" w:bidi="hi-IN"/>
              </w:rPr>
            </w:pPr>
            <w:r>
              <w:rPr>
                <w:rFonts w:eastAsia="Arial Unicode MS" w:cs="Lucida Sans" w:ascii="Arial Narrow" w:hAnsi="Arial Narrow"/>
                <w:color w:val="B3B3B3"/>
                <w:sz w:val="22"/>
                <w:szCs w:val="22"/>
                <w:lang w:val="de-DE" w:eastAsia="zh-CN" w:bidi="hi-IN"/>
              </w:rPr>
              <w:t>Cotton candy marshmallow cupcake bonbon cupcake toffee brownie tootsie roll croissant. Pudding sweet lollipop cake pie macaroon. Candy ice cream sesame snaps apple pie unerdwear.com tart souffle wafer. Pastry carrot cake I love sweet roll I love sugar plum. Gingerbread marzipan candy apple pie dessert cookie.</w:t>
              <w:br/>
              <w:br/>
              <w:br/>
              <w:br/>
              <w:br/>
            </w:r>
          </w:p>
          <w:p>
            <w:pPr>
              <w:pStyle w:val="TabellenInhalt"/>
              <w:suppressAutoHyphens w:val="false"/>
              <w:spacing w:before="0" w:after="113"/>
              <w:rPr>
                <w:rFonts w:ascii="Arial Narrow" w:hAnsi="Arial Narrow"/>
                <w:color w:val="B3B3B3"/>
                <w:sz w:val="22"/>
                <w:szCs w:val="22"/>
              </w:rPr>
            </w:pPr>
            <w:r>
              <w:rPr>
                <w:rFonts w:ascii="Arial Narrow" w:hAnsi="Arial Narrow"/>
                <w:color w:val="B3B3B3"/>
                <w:sz w:val="22"/>
                <w:szCs w:val="22"/>
              </w:rPr>
            </w:r>
          </w:p>
          <w:p>
            <w:pPr>
              <w:pStyle w:val="TabellenInhalt"/>
              <w:suppressAutoHyphens w:val="false"/>
              <w:spacing w:before="0" w:after="113"/>
              <w:rPr>
                <w:rFonts w:ascii="Arial Narrow" w:hAnsi="Arial Narrow"/>
                <w:color w:val="B3B3B3"/>
                <w:sz w:val="22"/>
                <w:szCs w:val="22"/>
              </w:rPr>
            </w:pPr>
            <w:r>
              <w:rPr>
                <w:rFonts w:ascii="Arial Narrow" w:hAnsi="Arial Narrow"/>
                <w:color w:val="B3B3B3"/>
                <w:sz w:val="22"/>
                <w:szCs w:val="22"/>
              </w:rPr>
            </w:r>
          </w:p>
        </w:tc>
      </w:tr>
      <w:tr>
        <w:trPr>
          <w:cantSplit w:val="false"/>
        </w:trPr>
        <w:tc>
          <w:tcPr>
            <w:tcW w:w="5379" w:type="dxa"/>
            <w:vMerge w:val="continue"/>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32"/>
                <w:szCs w:val="32"/>
              </w:rPr>
            </w:pPr>
            <w:r>
              <w:rPr>
                <w:rFonts w:ascii="Arial Narrow" w:hAnsi="Arial Narrow"/>
                <w:sz w:val="32"/>
                <w:szCs w:val="32"/>
              </w:rPr>
            </w:r>
          </w:p>
        </w:tc>
        <w:tc>
          <w:tcPr>
            <w:tcW w:w="5269" w:type="dxa"/>
            <w:vMerge w:val="continue"/>
            <w:tcBorders>
              <w:top w:val="nil"/>
              <w:left w:val="nil"/>
              <w:bottom w:val="nil"/>
              <w:insideH w:val="nil"/>
              <w:right w:val="nil"/>
              <w:insideV w:val="nil"/>
            </w:tcBorders>
            <w:shd w:fill="FFFFFF" w:val="clear"/>
          </w:tcPr>
          <w:p>
            <w:pPr>
              <w:pStyle w:val="TabellenInhalt"/>
              <w:suppressAutoHyphens w:val="false"/>
              <w:spacing w:before="0" w:after="113"/>
              <w:rPr>
                <w:rFonts w:eastAsia="Arial Unicode MS" w:cs="Lucida Sans" w:ascii="Arial Narrow" w:hAnsi="Arial Narrow"/>
                <w:color w:val="00000A"/>
                <w:sz w:val="32"/>
                <w:szCs w:val="32"/>
                <w:lang w:val="de-DE" w:eastAsia="zh-CN" w:bidi="hi-IN"/>
              </w:rPr>
            </w:pPr>
            <w:r>
              <w:rPr>
                <w:rFonts w:eastAsia="Arial Unicode MS" w:cs="Lucida Sans" w:ascii="Arial Narrow" w:hAnsi="Arial Narrow"/>
                <w:color w:val="00000A"/>
                <w:sz w:val="32"/>
                <w:szCs w:val="32"/>
                <w:lang w:val="de-DE" w:eastAsia="zh-CN" w:bidi="hi-IN"/>
              </w:rPr>
            </w:r>
          </w:p>
        </w:tc>
        <w:tc>
          <w:tcPr>
            <w:tcW w:w="2393" w:type="dxa"/>
            <w:tcBorders>
              <w:top w:val="nil"/>
              <w:left w:val="nil"/>
              <w:bottom w:val="single" w:sz="2" w:space="0" w:color="000001"/>
              <w:insideH w:val="single" w:sz="2" w:space="0" w:color="000001"/>
              <w:right w:val="nil"/>
              <w:insideV w:val="nil"/>
            </w:tcBorders>
            <w:shd w:fill="FFFFFF" w:val="clear"/>
            <w:tcMar>
              <w:top w:w="55" w:type="dxa"/>
              <w:left w:w="55" w:type="dxa"/>
              <w:bottom w:w="55" w:type="dxa"/>
              <w:right w:w="55" w:type="dxa"/>
            </w:tcMar>
          </w:tcPr>
          <w:p>
            <w:pPr>
              <w:pStyle w:val="TabellenInhalt"/>
              <w:suppressAutoHyphens w:val="false"/>
              <w:spacing w:before="0" w:after="113"/>
              <w:rPr>
                <w:rFonts w:ascii="Arial Narrow" w:hAnsi="Arial Narrow"/>
                <w:color w:val="00000A"/>
                <w:sz w:val="22"/>
                <w:szCs w:val="22"/>
              </w:rPr>
            </w:pPr>
            <w:r>
              <w:rPr>
                <w:rFonts w:ascii="Arial Narrow" w:hAnsi="Arial Narrow"/>
                <w:color w:val="00000A"/>
                <w:sz w:val="22"/>
                <w:szCs w:val="22"/>
              </w:rPr>
            </w:r>
          </w:p>
        </w:tc>
        <w:tc>
          <w:tcPr>
            <w:tcW w:w="2404" w:type="dxa"/>
            <w:tcBorders>
              <w:top w:val="nil"/>
              <w:left w:val="nil"/>
              <w:bottom w:val="nil"/>
              <w:insideH w:val="nil"/>
              <w:right w:val="nil"/>
              <w:insideV w:val="nil"/>
            </w:tcBorders>
            <w:shd w:fill="FFFFFF" w:val="clear"/>
            <w:tcMar>
              <w:top w:w="55" w:type="dxa"/>
              <w:left w:w="55" w:type="dxa"/>
              <w:bottom w:w="55" w:type="dxa"/>
              <w:right w:w="55" w:type="dxa"/>
            </w:tcMar>
          </w:tcPr>
          <w:p>
            <w:pPr>
              <w:pStyle w:val="TabellenInhalt"/>
              <w:suppressAutoHyphens w:val="false"/>
              <w:spacing w:before="0" w:after="113"/>
              <w:rPr>
                <w:rFonts w:ascii="Arial Narrow" w:hAnsi="Arial Narrow"/>
                <w:color w:val="00000A"/>
                <w:sz w:val="22"/>
                <w:szCs w:val="22"/>
              </w:rPr>
            </w:pPr>
            <w:r>
              <w:rPr>
                <w:rFonts w:ascii="Arial Narrow" w:hAnsi="Arial Narrow"/>
                <w:color w:val="00000A"/>
                <w:sz w:val="22"/>
                <w:szCs w:val="22"/>
              </w:rPr>
            </w:r>
          </w:p>
        </w:tc>
      </w:tr>
      <w:tr>
        <w:trPr>
          <w:cantSplit w:val="false"/>
        </w:trPr>
        <w:tc>
          <w:tcPr>
            <w:tcW w:w="5379" w:type="dxa"/>
            <w:vMerge w:val="continue"/>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32"/>
                <w:szCs w:val="32"/>
              </w:rPr>
            </w:pPr>
            <w:r>
              <w:rPr>
                <w:rFonts w:ascii="Arial Narrow" w:hAnsi="Arial Narrow"/>
                <w:sz w:val="32"/>
                <w:szCs w:val="32"/>
              </w:rPr>
            </w:r>
          </w:p>
        </w:tc>
        <w:tc>
          <w:tcPr>
            <w:tcW w:w="5269" w:type="dxa"/>
            <w:vMerge w:val="continue"/>
            <w:tcBorders>
              <w:top w:val="nil"/>
              <w:left w:val="nil"/>
              <w:bottom w:val="nil"/>
              <w:insideH w:val="nil"/>
              <w:right w:val="nil"/>
              <w:insideV w:val="nil"/>
            </w:tcBorders>
            <w:shd w:fill="FFFFFF" w:val="clear"/>
          </w:tcPr>
          <w:p>
            <w:pPr>
              <w:pStyle w:val="TabellenInhalt"/>
              <w:suppressAutoHyphens w:val="false"/>
              <w:spacing w:before="0" w:after="113"/>
              <w:rPr>
                <w:rFonts w:eastAsia="Arial Unicode MS" w:cs="Lucida Sans" w:ascii="Arial Narrow" w:hAnsi="Arial Narrow"/>
                <w:color w:val="00000A"/>
                <w:sz w:val="32"/>
                <w:szCs w:val="32"/>
                <w:lang w:val="de-DE" w:eastAsia="zh-CN" w:bidi="hi-IN"/>
              </w:rPr>
            </w:pPr>
            <w:r>
              <w:rPr>
                <w:rFonts w:eastAsia="Arial Unicode MS" w:cs="Lucida Sans" w:ascii="Arial Narrow" w:hAnsi="Arial Narrow"/>
                <w:color w:val="00000A"/>
                <w:sz w:val="32"/>
                <w:szCs w:val="32"/>
                <w:lang w:val="de-DE" w:eastAsia="zh-CN" w:bidi="hi-IN"/>
              </w:rPr>
            </w:r>
          </w:p>
        </w:tc>
        <w:tc>
          <w:tcPr>
            <w:tcW w:w="4797" w:type="dxa"/>
            <w:gridSpan w:val="2"/>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rFonts w:eastAsia="Arial Unicode MS" w:cs="Lucida Sans" w:ascii="Arial Narrow" w:hAnsi="Arial Narrow"/>
                <w:color w:val="00000A"/>
                <w:sz w:val="22"/>
                <w:szCs w:val="22"/>
              </w:rPr>
            </w:pPr>
            <w:r>
              <w:rPr>
                <w:rFonts w:ascii="Arial Narrow" w:hAnsi="Arial Narrow"/>
                <w:color w:val="00000A"/>
                <w:sz w:val="22"/>
                <w:szCs w:val="22"/>
                <w:vertAlign w:val="superscript"/>
              </w:rPr>
              <w:t>1</w:t>
            </w:r>
            <w:r>
              <w:rPr>
                <w:rFonts w:ascii="Arial Narrow" w:hAnsi="Arial Narrow"/>
                <w:color w:val="00000A"/>
                <w:sz w:val="22"/>
                <w:szCs w:val="22"/>
              </w:rPr>
              <w:t xml:space="preserve"> </w:t>
            </w:r>
            <w:bookmarkStart w:id="3" w:name="__DdeLink__166_1759238855"/>
            <w:r>
              <w:rPr>
                <w:rFonts w:ascii="Arial Narrow" w:hAnsi="Arial Narrow"/>
                <w:color w:val="00000A"/>
                <w:sz w:val="22"/>
                <w:szCs w:val="22"/>
              </w:rPr>
              <w:t xml:space="preserve">Barbara Basting: Farbe ist Geschmackssache. Im Fotolabor von Ronny Ochsner […]. In: </w:t>
            </w:r>
            <w:r>
              <w:rPr>
                <w:rFonts w:eastAsia="Arial Unicode MS" w:cs="Lucida Sans" w:ascii="Arial Narrow" w:hAnsi="Arial Narrow"/>
                <w:color w:val="00000A"/>
                <w:sz w:val="22"/>
                <w:szCs w:val="22"/>
              </w:rPr>
              <w:t>«du». Die Zeitschrift für Kultur. TA-Media AG Zürich, Doppelheft Nr. 708, Juli/August 2000</w:t>
            </w:r>
            <w:bookmarkEnd w:id="3"/>
            <w:r>
              <w:rPr>
                <w:rFonts w:eastAsia="Arial Unicode MS" w:cs="Lucida Sans" w:ascii="Arial Narrow" w:hAnsi="Arial Narrow"/>
                <w:color w:val="00000A"/>
                <w:sz w:val="22"/>
                <w:szCs w:val="22"/>
              </w:rPr>
              <w:t>, S. 64 m.u.</w:t>
            </w:r>
          </w:p>
        </w:tc>
      </w:tr>
    </w:tbl>
    <w:p>
      <w:pPr>
        <w:pStyle w:val="Normal"/>
        <w:widowControl/>
        <w:suppressAutoHyphens w:val="false"/>
        <w:spacing w:before="0" w:after="113"/>
        <w:rPr>
          <w:sz w:val="4"/>
          <w:szCs w:val="4"/>
        </w:rPr>
      </w:pPr>
      <w:r>
        <w:rPr>
          <w:sz w:val="4"/>
          <w:szCs w:val="4"/>
        </w:rPr>
      </w:r>
    </w:p>
    <w:tbl>
      <w:tblPr>
        <w:jc w:val="left"/>
        <w:tblInd w:w="0" w:type="dxa"/>
        <w:tblBorders>
          <w:top w:val="nil"/>
          <w:left w:val="nil"/>
          <w:bottom w:val="nil"/>
          <w:insideH w:val="nil"/>
          <w:right w:val="nil"/>
          <w:insideV w:val="nil"/>
        </w:tblBorders>
        <w:tblCellMar>
          <w:top w:w="0" w:type="dxa"/>
          <w:left w:w="0" w:type="dxa"/>
          <w:bottom w:w="0" w:type="dxa"/>
          <w:right w:w="454" w:type="dxa"/>
        </w:tblCellMar>
      </w:tblPr>
      <w:tblGrid>
        <w:gridCol w:w="341"/>
        <w:gridCol w:w="5035"/>
        <w:gridCol w:w="5272"/>
        <w:gridCol w:w="4797"/>
      </w:tblGrid>
      <w:tr>
        <w:trPr>
          <w:cantSplit w:val="false"/>
        </w:trPr>
        <w:tc>
          <w:tcPr>
            <w:tcW w:w="5376" w:type="dxa"/>
            <w:gridSpan w:val="2"/>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32"/>
                <w:szCs w:val="32"/>
              </w:rPr>
            </w:pPr>
            <w:r>
              <w:rPr>
                <w:rFonts w:ascii="Arial Narrow" w:hAnsi="Arial Narrow"/>
                <w:sz w:val="32"/>
                <w:szCs w:val="32"/>
              </w:rPr>
              <w:t>Anhang</w:t>
            </w:r>
          </w:p>
          <w:p>
            <w:pPr>
              <w:pStyle w:val="Normal"/>
              <w:suppressAutoHyphens w:val="false"/>
              <w:spacing w:before="0" w:after="113"/>
              <w:rPr/>
            </w:pPr>
            <w:r>
              <w:rPr/>
            </w:r>
          </w:p>
          <w:p>
            <w:pPr>
              <w:pStyle w:val="Normal"/>
              <w:suppressAutoHyphens w:val="false"/>
              <w:spacing w:before="0" w:after="113"/>
              <w:rPr>
                <w:rFonts w:ascii="Arial Narrow" w:hAnsi="Arial Narrow"/>
                <w:sz w:val="22"/>
                <w:szCs w:val="22"/>
              </w:rPr>
            </w:pPr>
            <w:r>
              <w:rPr>
                <w:rFonts w:ascii="Arial Narrow" w:hAnsi="Arial Narrow"/>
                <w:sz w:val="22"/>
                <w:szCs w:val="22"/>
              </w:rPr>
            </w:r>
          </w:p>
        </w:tc>
        <w:tc>
          <w:tcPr>
            <w:tcW w:w="5272" w:type="dxa"/>
            <w:vMerge w:val="restart"/>
            <w:tcBorders>
              <w:top w:val="nil"/>
              <w:left w:val="nil"/>
              <w:bottom w:val="nil"/>
              <w:insideH w:val="nil"/>
              <w:right w:val="nil"/>
              <w:insideV w:val="nil"/>
            </w:tcBorders>
            <w:shd w:fill="FFFFFF" w:val="clear"/>
          </w:tcPr>
          <w:p>
            <w:pPr>
              <w:pStyle w:val="TabellenInhalt"/>
              <w:suppressAutoHyphens w:val="false"/>
              <w:spacing w:before="0" w:after="113"/>
              <w:rPr>
                <w:rFonts w:ascii="Arial Narrow" w:hAnsi="Arial Narrow"/>
                <w:sz w:val="32"/>
                <w:szCs w:val="35"/>
              </w:rPr>
            </w:pPr>
            <w:r>
              <w:rPr>
                <w:rFonts w:ascii="Arial Narrow" w:hAnsi="Arial Narrow"/>
                <w:sz w:val="32"/>
                <w:szCs w:val="35"/>
              </w:rPr>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eastAsia="Arial Unicode MS" w:cs="Lucida Sans" w:ascii="Arial Narrow" w:hAnsi="Arial Narrow"/>
                <w:color w:val="00000A"/>
                <w:sz w:val="22"/>
                <w:szCs w:val="22"/>
                <w:lang w:val="de-DE" w:eastAsia="zh-CN" w:bidi="hi-IN"/>
              </w:rPr>
            </w:pPr>
            <w:r>
              <w:rPr>
                <w:rFonts w:eastAsia="Arial Unicode MS" w:cs="Lucida Sans" w:ascii="Arial Narrow" w:hAnsi="Arial Narrow"/>
                <w:color w:val="00000A"/>
                <w:sz w:val="22"/>
                <w:szCs w:val="22"/>
                <w:lang w:val="de-DE" w:eastAsia="zh-CN" w:bidi="hi-IN"/>
              </w:rPr>
              <w:t>Autoren- und Personenverzeichnis</w:t>
            </w:r>
          </w:p>
          <w:p>
            <w:pPr>
              <w:pStyle w:val="TabellenInhalt"/>
              <w:suppressAutoHyphens w:val="false"/>
              <w:spacing w:before="0" w:after="113"/>
              <w:rPr>
                <w:rFonts w:ascii="Arial Narrow" w:hAnsi="Arial Narrow"/>
                <w:sz w:val="22"/>
                <w:szCs w:val="22"/>
              </w:rPr>
            </w:pPr>
            <w:r>
              <w:rPr>
                <w:rFonts w:ascii="Arial Narrow" w:hAnsi="Arial Narrow"/>
                <w:sz w:val="22"/>
                <w:szCs w:val="22"/>
              </w:rPr>
              <w:t xml:space="preserve">AKA (selbst genannter Name) *1973, Diplominformatiker, verheiratet, eine Tochter, Wikipedianer seit 2013 </w:t>
              <w:br/>
              <w:t>mit Benutzer-ID 568</w:t>
            </w:r>
          </w:p>
          <w:p>
            <w:pPr>
              <w:pStyle w:val="TabellenInhalt"/>
              <w:suppressAutoHyphens w:val="false"/>
              <w:spacing w:before="0" w:after="113"/>
              <w:rPr>
                <w:rFonts w:eastAsia="Arial Unicode MS" w:cs="Lucida Sans" w:ascii="Arial Narrow" w:hAnsi="Arial Narrow"/>
                <w:color w:val="00000A"/>
                <w:sz w:val="22"/>
                <w:szCs w:val="22"/>
              </w:rPr>
            </w:pPr>
            <w:r>
              <w:rPr>
                <w:rFonts w:ascii="Arial Narrow" w:hAnsi="Arial Narrow"/>
                <w:sz w:val="22"/>
                <w:szCs w:val="22"/>
              </w:rPr>
              <w:t xml:space="preserve">Basting, Barbara *1963, studierte in Konstanz und Paris Romanistik, Germanistik und Philosophie. Journalistisch tätig seit 1986. Von 1989 bis 1999 war sie als Redakteurin der Zeitschrift </w:t>
            </w:r>
            <w:r>
              <w:rPr>
                <w:rFonts w:eastAsia="Arial Unicode MS" w:cs="Lucida Sans" w:ascii="Arial Narrow" w:hAnsi="Arial Narrow"/>
                <w:color w:val="00000A"/>
                <w:sz w:val="22"/>
                <w:szCs w:val="22"/>
              </w:rPr>
              <w:t>«du», danach frei tätig. Seit 2013 ist sie Leiterin für bildende Kunst in der Kulturabteilung Zürich.</w:t>
            </w:r>
          </w:p>
          <w:p>
            <w:pPr>
              <w:pStyle w:val="TabellenInhalt"/>
              <w:suppressAutoHyphens w:val="false"/>
              <w:spacing w:before="0" w:after="113"/>
              <w:rPr>
                <w:rFonts w:eastAsia="Arial Unicode MS" w:cs="Lucida Sans" w:ascii="Arial Narrow" w:hAnsi="Arial Narrow"/>
                <w:color w:val="00000A"/>
                <w:sz w:val="22"/>
                <w:szCs w:val="22"/>
              </w:rPr>
            </w:pPr>
            <w:r>
              <w:rPr>
                <w:rFonts w:eastAsia="Arial Unicode MS" w:cs="Lucida Sans" w:ascii="Arial Narrow" w:hAnsi="Arial Narrow"/>
                <w:color w:val="00000A"/>
                <w:sz w:val="22"/>
                <w:szCs w:val="22"/>
              </w:rPr>
              <w:t>Prof. Dr. Dr. h. c. Krämer, Sybille *1951, studierte Philosophie, Geschichte und Sozialwissenschaften in Hamburg und München. Nach ihrer Promotion 1980 (Marburg) und Habilitation (Düsseldorf) ist sie seit 1989 Professorin am Institut für Philosophie der Freien Universität Berlin. Sie lehrte und forschte an den Universitäten in Hannover und Wien, erhielt Gastprofessuren in Zürich, Luzern und Graz, an der TU Wien und am Max Reinhardt Seminar der Universität für Musik und darstellende Kunst in Wien. Von 2000 bis 2006 war sie Mitglied des Wissenschaftsrates in Deutschland, danach Permanent Fellow am Wissenschaftskolleg zu Berlin. 2010 wurde sie in den Senat der Deutschen Forschungsgemeinschaft gewählt.</w:t>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eastAsia="Arial Unicode MS" w:cs="Lucida Sans" w:ascii="Arial Narrow" w:hAnsi="Arial Narrow"/>
                <w:color w:val="00000A"/>
                <w:sz w:val="22"/>
                <w:szCs w:val="22"/>
              </w:rPr>
            </w:pPr>
            <w:r>
              <w:rPr>
                <w:rFonts w:eastAsia="Arial Unicode MS" w:cs="Lucida Sans" w:ascii="Arial Narrow" w:hAnsi="Arial Narrow"/>
                <w:color w:val="00000A"/>
                <w:sz w:val="22"/>
                <w:szCs w:val="22"/>
              </w:rPr>
              <w:t>Glossar</w:t>
            </w:r>
          </w:p>
          <w:p>
            <w:pPr>
              <w:pStyle w:val="TabellenInhalt"/>
              <w:suppressAutoHyphens w:val="false"/>
              <w:spacing w:before="0" w:after="113"/>
              <w:rPr>
                <w:rFonts w:eastAsia="Arial Unicode MS" w:cs="Lucida Sans" w:ascii="Arial Narrow" w:hAnsi="Arial Narrow"/>
                <w:color w:val="00000A"/>
                <w:sz w:val="22"/>
                <w:szCs w:val="22"/>
              </w:rPr>
            </w:pPr>
            <w:r>
              <w:rPr>
                <w:rFonts w:eastAsia="Arial Unicode MS" w:cs="Lucida Sans" w:ascii="Arial Narrow" w:hAnsi="Arial Narrow"/>
                <w:color w:val="00000A"/>
                <w:sz w:val="22"/>
                <w:szCs w:val="22"/>
              </w:rPr>
              <w:t>…</w:t>
            </w:r>
          </w:p>
        </w:tc>
        <w:tc>
          <w:tcPr>
            <w:tcW w:w="4797" w:type="dxa"/>
            <w:vMerge w:val="restart"/>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rFonts w:ascii="Arial Narrow" w:hAnsi="Arial Narrow"/>
                <w:sz w:val="32"/>
                <w:szCs w:val="35"/>
              </w:rPr>
            </w:pPr>
            <w:r>
              <w:rPr>
                <w:rFonts w:ascii="Arial Narrow" w:hAnsi="Arial Narrow"/>
                <w:sz w:val="32"/>
                <w:szCs w:val="35"/>
              </w:rPr>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pPr>
            <w:r>
              <w:rPr/>
            </w:r>
          </w:p>
          <w:p>
            <w:pPr>
              <w:pStyle w:val="TabellenInhalt"/>
              <w:suppressAutoHyphens w:val="false"/>
              <w:spacing w:before="0" w:after="113"/>
              <w:rPr>
                <w:rFonts w:ascii="Arial Narrow" w:hAnsi="Arial Narrow"/>
                <w:sz w:val="22"/>
                <w:szCs w:val="22"/>
              </w:rPr>
            </w:pPr>
            <w:r>
              <w:rPr>
                <w:rFonts w:ascii="Arial Narrow" w:hAnsi="Arial Narrow"/>
                <w:sz w:val="22"/>
                <w:szCs w:val="22"/>
              </w:rPr>
              <w:t>Abbildungen</w:t>
            </w:r>
          </w:p>
          <w:p>
            <w:pPr>
              <w:pStyle w:val="TabellenInhalt"/>
              <w:suppressAutoHyphens w:val="false"/>
              <w:spacing w:before="0" w:after="113"/>
              <w:rPr>
                <w:rFonts w:ascii="Arial Narrow" w:hAnsi="Arial Narrow"/>
                <w:sz w:val="22"/>
                <w:szCs w:val="22"/>
              </w:rPr>
            </w:pPr>
            <w:r>
              <w:rPr>
                <w:rFonts w:ascii="Arial Narrow" w:hAnsi="Arial Narrow"/>
                <w:sz w:val="22"/>
                <w:szCs w:val="22"/>
              </w:rPr>
              <w:t>…</w:t>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ascii="Arial Narrow" w:hAnsi="Arial Narrow"/>
                <w:sz w:val="22"/>
                <w:szCs w:val="22"/>
              </w:rPr>
            </w:pPr>
            <w:r>
              <w:rPr>
                <w:rFonts w:ascii="Arial Narrow" w:hAnsi="Arial Narrow"/>
                <w:sz w:val="22"/>
                <w:szCs w:val="22"/>
              </w:rPr>
            </w:r>
          </w:p>
          <w:p>
            <w:pPr>
              <w:pStyle w:val="TabellenInhalt"/>
              <w:suppressAutoHyphens w:val="false"/>
              <w:spacing w:before="0" w:after="113"/>
              <w:rPr>
                <w:rFonts w:ascii="Arial Narrow" w:hAnsi="Arial Narrow"/>
                <w:sz w:val="22"/>
                <w:szCs w:val="22"/>
              </w:rPr>
            </w:pPr>
            <w:r>
              <w:rPr>
                <w:rFonts w:ascii="Arial Narrow" w:hAnsi="Arial Narrow"/>
                <w:sz w:val="22"/>
                <w:szCs w:val="22"/>
              </w:rPr>
              <w:t>Abb. 47</w:t>
            </w:r>
          </w:p>
          <w:p>
            <w:pPr>
              <w:pStyle w:val="TabellenInhalt"/>
              <w:suppressAutoHyphens w:val="false"/>
              <w:spacing w:before="0" w:after="113"/>
              <w:rPr>
                <w:sz w:val="8"/>
                <w:szCs w:val="9"/>
              </w:rPr>
            </w:pPr>
            <w:r>
              <w:rPr>
                <w:sz w:val="8"/>
                <w:szCs w:val="9"/>
              </w:rPr>
              <w:drawing>
                <wp:anchor behindDoc="0" distT="0" distB="0" distL="0" distR="0" simplePos="0" locked="0" layoutInCell="1" allowOverlap="1" relativeHeight="0">
                  <wp:simplePos x="0" y="0"/>
                  <wp:positionH relativeFrom="column">
                    <wp:align>center</wp:align>
                  </wp:positionH>
                  <wp:positionV relativeFrom="paragraph">
                    <wp:align>top</wp:align>
                  </wp:positionV>
                  <wp:extent cx="3046730" cy="1904365"/>
                  <wp:effectExtent l="0" t="0" r="0" b="0"/>
                  <wp:wrapSquare wrapText="largest"/>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3"/>
                          <a:stretch>
                            <a:fillRect/>
                          </a:stretch>
                        </pic:blipFill>
                        <pic:spPr bwMode="auto">
                          <a:xfrm>
                            <a:off x="0" y="0"/>
                            <a:ext cx="3046730" cy="1904365"/>
                          </a:xfrm>
                          <a:prstGeom prst="rect">
                            <a:avLst/>
                          </a:prstGeom>
                          <a:noFill/>
                          <a:ln w="9525">
                            <a:noFill/>
                            <a:miter lim="800000"/>
                            <a:headEnd/>
                            <a:tailEnd/>
                          </a:ln>
                        </pic:spPr>
                      </pic:pic>
                    </a:graphicData>
                  </a:graphic>
                </wp:anchor>
              </w:drawing>
            </w:r>
          </w:p>
          <w:p>
            <w:pPr>
              <w:pStyle w:val="TabellenInhalt"/>
              <w:suppressAutoHyphens w:val="false"/>
              <w:spacing w:before="0" w:after="113"/>
              <w:rPr>
                <w:rFonts w:ascii="Arial Narrow" w:hAnsi="Arial Narrow"/>
                <w:sz w:val="22"/>
                <w:szCs w:val="22"/>
              </w:rPr>
            </w:pPr>
            <w:hyperlink r:id="rId4">
              <w:r>
                <w:rPr>
                  <w:rStyle w:val="Internetlink"/>
                  <w:rFonts w:ascii="Arial Narrow" w:hAnsi="Arial Narrow"/>
                  <w:sz w:val="22"/>
                  <w:szCs w:val="22"/>
                </w:rPr>
                <w:t>https://de.wikipedia.org/wiki/Seminarfach</w:t>
              </w:r>
            </w:hyperlink>
            <w:r>
              <w:rPr>
                <w:rFonts w:ascii="Arial Narrow" w:hAnsi="Arial Narrow"/>
                <w:sz w:val="22"/>
                <w:szCs w:val="22"/>
              </w:rPr>
              <w:t xml:space="preserve">     160105|14.05</w:t>
            </w:r>
          </w:p>
        </w:tc>
      </w:tr>
      <w:tr>
        <w:trPr>
          <w:cantSplit w:val="false"/>
        </w:trPr>
        <w:tc>
          <w:tcPr>
            <w:tcW w:w="5376" w:type="dxa"/>
            <w:gridSpan w:val="2"/>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Quellenverzeichnis</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1</w:t>
            </w:r>
          </w:p>
        </w:tc>
        <w:tc>
          <w:tcPr>
            <w:tcW w:w="5035" w:type="dxa"/>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 xml:space="preserve">AKA (nach offensichtlich eigener Angabe): Seminarfach. </w:t>
            </w:r>
            <w:hyperlink r:id="rId5">
              <w:r>
                <w:rPr>
                  <w:rStyle w:val="Internetlink"/>
                  <w:rFonts w:ascii="Arial Narrow" w:hAnsi="Arial Narrow"/>
                  <w:sz w:val="22"/>
                  <w:szCs w:val="22"/>
                </w:rPr>
                <w:t>https://de.wikipedia.org/wiki/Seminarfach</w:t>
              </w:r>
            </w:hyperlink>
            <w:r>
              <w:rPr>
                <w:rFonts w:ascii="Arial Narrow" w:hAnsi="Arial Narrow"/>
                <w:sz w:val="22"/>
                <w:szCs w:val="22"/>
              </w:rPr>
              <w:t xml:space="preserve">   170104|15.34, vgl. Anhang S. 19, Abb. 47</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2</w:t>
            </w:r>
          </w:p>
        </w:tc>
        <w:tc>
          <w:tcPr>
            <w:tcW w:w="5035" w:type="dxa"/>
            <w:tcBorders>
              <w:top w:val="nil"/>
              <w:left w:val="nil"/>
              <w:bottom w:val="nil"/>
              <w:insideH w:val="nil"/>
              <w:right w:val="nil"/>
              <w:insideV w:val="nil"/>
            </w:tcBorders>
            <w:shd w:fill="FFFFFF" w:val="clear"/>
          </w:tcPr>
          <w:p>
            <w:pPr>
              <w:pStyle w:val="TabellenInhalt"/>
              <w:suppressAutoHyphens w:val="false"/>
              <w:spacing w:before="0" w:after="113"/>
              <w:rPr>
                <w:rFonts w:eastAsia="Arial Unicode MS" w:cs="Lucida Sans" w:ascii="Arial Narrow" w:hAnsi="Arial Narrow"/>
                <w:color w:val="00000A"/>
                <w:sz w:val="22"/>
                <w:szCs w:val="22"/>
              </w:rPr>
            </w:pPr>
            <w:r>
              <w:rPr>
                <w:rFonts w:ascii="Arial Narrow" w:hAnsi="Arial Narrow"/>
                <w:color w:val="00000A"/>
                <w:sz w:val="22"/>
                <w:szCs w:val="22"/>
              </w:rPr>
              <w:t xml:space="preserve">Barbara Basting: Farbe ist Geschmackssache. Im Fotolabor von Ronny Ochsner […]. In: </w:t>
            </w:r>
            <w:r>
              <w:rPr>
                <w:rFonts w:eastAsia="Arial Unicode MS" w:cs="Lucida Sans" w:ascii="Arial Narrow" w:hAnsi="Arial Narrow"/>
                <w:color w:val="00000A"/>
                <w:sz w:val="22"/>
                <w:szCs w:val="22"/>
              </w:rPr>
              <w:t>«du». Die Zeitschrift für Kultur. TA-Media AG Zürich, Doppelheft Nr. 708, Juli/August 2000</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3</w:t>
            </w:r>
          </w:p>
        </w:tc>
        <w:tc>
          <w:tcPr>
            <w:tcW w:w="5035" w:type="dxa"/>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Krämer, Sybille (Hg.): Ada Lovelace. Die Pionierin der Computertechnik und ihre Nachfolgerinnen. Wilhelm Fink Verlag, Paderborn 2015</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5376" w:type="dxa"/>
            <w:gridSpan w:val="2"/>
            <w:tcBorders>
              <w:top w:val="nil"/>
              <w:left w:val="nil"/>
              <w:bottom w:val="nil"/>
              <w:insideH w:val="nil"/>
              <w:right w:val="nil"/>
              <w:insideV w:val="nil"/>
            </w:tcBorders>
            <w:shd w:fill="FFFFFF" w:val="clear"/>
          </w:tcPr>
          <w:p>
            <w:pPr>
              <w:pStyle w:val="Normal"/>
              <w:suppressAutoHyphens w:val="false"/>
              <w:spacing w:before="0" w:after="113"/>
              <w:rPr/>
            </w:pPr>
            <w:r>
              <w:rPr/>
            </w:r>
          </w:p>
          <w:p>
            <w:pPr>
              <w:pStyle w:val="Normal"/>
              <w:suppressAutoHyphens w:val="false"/>
              <w:spacing w:before="0" w:after="113"/>
              <w:rPr/>
            </w:pPr>
            <w:r>
              <w:rPr/>
            </w:r>
          </w:p>
          <w:p>
            <w:pPr>
              <w:pStyle w:val="Normal"/>
              <w:suppressAutoHyphens w:val="false"/>
              <w:spacing w:before="0" w:after="113"/>
              <w:rPr>
                <w:rFonts w:ascii="Arial Narrow" w:hAnsi="Arial Narrow"/>
                <w:sz w:val="22"/>
                <w:szCs w:val="22"/>
              </w:rPr>
            </w:pPr>
            <w:r>
              <w:rPr>
                <w:rFonts w:ascii="Arial Narrow" w:hAnsi="Arial Narrow"/>
                <w:sz w:val="22"/>
                <w:szCs w:val="22"/>
              </w:rPr>
              <w:t>Weiterführende Quellen</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4</w:t>
            </w:r>
          </w:p>
        </w:tc>
        <w:tc>
          <w:tcPr>
            <w:tcW w:w="5035" w:type="dxa"/>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 xml:space="preserve">Ehrenfels, Christian von: Über „Gestaltqualitäten“. Aus: Vierteljahresschrift für wissenschaftliche Philosophie. Jg. XIV, Heft 3, 1890. Gefunden in: Ferdinand Weinhandel (Hg.): Gestalthaftes Sehen. Ergebnisse und Aufgaben der Morphologie. 2. unveränderte Aufl., Wissenschaftliche Bucjgesellschaft Darmstadt, </w:t>
              <w:br/>
              <w:t>Darmstadt 1967</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5</w:t>
            </w:r>
          </w:p>
        </w:tc>
        <w:tc>
          <w:tcPr>
            <w:tcW w:w="5035" w:type="dxa"/>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Einstein, Albert: Die Relativitätstheorie. In: Emil Warburg (Red.): Physik. Verlag von B. G. Teubner, Leipzig und Berlin 1915</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6</w:t>
            </w:r>
          </w:p>
        </w:tc>
        <w:tc>
          <w:tcPr>
            <w:tcW w:w="5035" w:type="dxa"/>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r>
        <w:trPr>
          <w:cantSplit w:val="false"/>
        </w:trPr>
        <w:tc>
          <w:tcPr>
            <w:tcW w:w="341" w:type="dxa"/>
            <w:tcBorders>
              <w:top w:val="nil"/>
              <w:left w:val="nil"/>
              <w:bottom w:val="nil"/>
              <w:insideH w:val="nil"/>
              <w:right w:val="nil"/>
              <w:insideV w:val="nil"/>
            </w:tcBorders>
            <w:shd w:fill="FFFFFF" w:val="clear"/>
            <w:tcMar>
              <w:right w:w="0" w:type="dxa"/>
            </w:tcMar>
          </w:tcPr>
          <w:p>
            <w:pPr>
              <w:pStyle w:val="Normal"/>
              <w:suppressAutoHyphens w:val="false"/>
              <w:spacing w:before="0" w:after="113"/>
              <w:rPr>
                <w:rFonts w:ascii="Arial Narrow" w:hAnsi="Arial Narrow"/>
                <w:sz w:val="22"/>
                <w:szCs w:val="22"/>
              </w:rPr>
            </w:pPr>
            <w:r>
              <w:rPr>
                <w:rFonts w:ascii="Arial Narrow" w:hAnsi="Arial Narrow"/>
                <w:sz w:val="22"/>
                <w:szCs w:val="22"/>
              </w:rPr>
              <w:t>7</w:t>
            </w:r>
          </w:p>
        </w:tc>
        <w:tc>
          <w:tcPr>
            <w:tcW w:w="5035" w:type="dxa"/>
            <w:tcBorders>
              <w:top w:val="nil"/>
              <w:left w:val="nil"/>
              <w:bottom w:val="nil"/>
              <w:insideH w:val="nil"/>
              <w:right w:val="nil"/>
              <w:insideV w:val="nil"/>
            </w:tcBorders>
            <w:shd w:fill="FFFFFF" w:val="clear"/>
          </w:tcPr>
          <w:p>
            <w:pPr>
              <w:pStyle w:val="Normal"/>
              <w:suppressAutoHyphens w:val="false"/>
              <w:spacing w:before="0" w:after="113"/>
              <w:rPr>
                <w:rFonts w:ascii="Arial Narrow" w:hAnsi="Arial Narrow"/>
                <w:sz w:val="22"/>
                <w:szCs w:val="22"/>
              </w:rPr>
            </w:pPr>
            <w:r>
              <w:rPr>
                <w:rFonts w:ascii="Arial Narrow" w:hAnsi="Arial Narrow"/>
                <w:sz w:val="22"/>
                <w:szCs w:val="22"/>
              </w:rPr>
              <w:t>…</w:t>
            </w:r>
          </w:p>
        </w:tc>
        <w:tc>
          <w:tcPr>
            <w:tcW w:w="5272" w:type="dxa"/>
            <w:vMerge w:val="continue"/>
            <w:tcBorders>
              <w:top w:val="nil"/>
              <w:left w:val="nil"/>
              <w:bottom w:val="nil"/>
              <w:insideH w:val="nil"/>
              <w:right w:val="nil"/>
              <w:insideV w:val="nil"/>
            </w:tcBorders>
            <w:shd w:fill="FFFFFF" w:val="clear"/>
          </w:tcPr>
          <w:p>
            <w:pPr>
              <w:pStyle w:val="TabellenInhalt"/>
              <w:suppressAutoHyphens w:val="false"/>
              <w:spacing w:before="0" w:after="113"/>
              <w:rPr/>
            </w:pPr>
            <w:r>
              <w:rPr/>
            </w:r>
          </w:p>
        </w:tc>
        <w:tc>
          <w:tcPr>
            <w:tcW w:w="4797" w:type="dxa"/>
            <w:vMerge w:val="continue"/>
            <w:tcBorders>
              <w:top w:val="nil"/>
              <w:left w:val="nil"/>
              <w:bottom w:val="nil"/>
              <w:insideH w:val="nil"/>
              <w:right w:val="nil"/>
              <w:insideV w:val="nil"/>
            </w:tcBorders>
            <w:shd w:fill="FFFFFF" w:val="clear"/>
            <w:tcMar>
              <w:right w:w="0" w:type="dxa"/>
            </w:tcMar>
          </w:tcPr>
          <w:p>
            <w:pPr>
              <w:pStyle w:val="TabellenInhalt"/>
              <w:suppressAutoHyphens w:val="false"/>
              <w:spacing w:before="0" w:after="113"/>
              <w:rPr/>
            </w:pPr>
            <w:r>
              <w:rPr/>
            </w:r>
          </w:p>
        </w:tc>
      </w:tr>
    </w:tbl>
    <w:p>
      <w:pPr>
        <w:pStyle w:val="Normal"/>
        <w:widowControl/>
        <w:suppressAutoHyphens w:val="false"/>
        <w:spacing w:before="0" w:after="113"/>
        <w:rPr>
          <w:rFonts w:ascii="Arial Narrow" w:hAnsi="Arial Narrow"/>
        </w:rPr>
      </w:pPr>
      <w:r>
        <w:rPr>
          <w:rFonts w:ascii="Arial Narrow" w:hAnsi="Arial Narrow"/>
        </w:rPr>
      </w:r>
    </w:p>
    <w:p>
      <w:pPr>
        <w:pStyle w:val="Normal"/>
        <w:widowControl/>
        <w:suppressAutoHyphens w:val="false"/>
        <w:spacing w:before="0" w:after="113"/>
        <w:rPr>
          <w:rFonts w:ascii="Arial Narrow" w:hAnsi="Arial Narrow"/>
        </w:rPr>
      </w:pPr>
      <w:r>
        <w:rPr>
          <w:rFonts w:ascii="Arial Narrow" w:hAnsi="Arial Narrow"/>
        </w:rPr>
      </w:r>
    </w:p>
    <w:p>
      <w:pPr>
        <w:pStyle w:val="Normal"/>
        <w:widowControl/>
        <w:suppressAutoHyphens w:val="false"/>
        <w:spacing w:before="0" w:after="113"/>
        <w:rPr>
          <w:rFonts w:ascii="Arial Narrow" w:hAnsi="Arial Narrow"/>
        </w:rPr>
      </w:pPr>
      <w:r>
        <w:rPr>
          <w:rFonts w:ascii="Arial Narrow" w:hAnsi="Arial Narrow"/>
        </w:rPr>
      </w:r>
    </w:p>
    <w:p>
      <w:pPr>
        <w:pStyle w:val="Normal"/>
        <w:widowControl/>
        <w:suppressAutoHyphens w:val="false"/>
        <w:spacing w:before="0" w:after="113"/>
        <w:jc w:val="right"/>
        <w:rPr>
          <w:rFonts w:ascii="Arial Narrow" w:hAnsi="Arial Narrow"/>
        </w:rPr>
      </w:pPr>
      <w:r>
        <w:rPr>
          <w:rFonts w:ascii="Arial Narrow" w:hAnsi="Arial Narrow"/>
        </w:rPr>
        <w:t>19</w:t>
      </w:r>
    </w:p>
    <w:sectPr>
      <w:type w:val="nextPage"/>
      <w:pgSz w:orient="landscape" w:w="16838" w:h="11906"/>
      <w:pgMar w:left="567" w:right="822" w:header="0" w:top="567" w:footer="0" w:bottom="567"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45"/>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character" w:styleId="Internetlink">
    <w:name w:val="Internetlink"/>
    <w:rPr>
      <w:color w:val="00008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uni-flensburg.de/schulpaedagogik/studium-und-lehre/hinweise-zum-wissenschaftlichen-arbeiten/" TargetMode="External"/><Relationship Id="rId3" Type="http://schemas.openxmlformats.org/officeDocument/2006/relationships/image" Target="media/image1.jpeg"/><Relationship Id="rId4" Type="http://schemas.openxmlformats.org/officeDocument/2006/relationships/hyperlink" Target="https://de.wikipedia.org/wiki/Seminarfach" TargetMode="External"/><Relationship Id="rId5" Type="http://schemas.openxmlformats.org/officeDocument/2006/relationships/hyperlink" Target="https://de.wikipedia.org/wiki/Seminarfach" TargetMode="Externa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LibreOffice/4.2.8.2$MacOSX_x86 LibreOffice_project/48d50dbfc06349262c9d50868e5c1f630a573ebd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2018-08-22T15:59:29Z</dcterms:created>
  <dc:language>de-DE</dc:language>
  <cp:lastPrinted>2018-08-25T10:14:54Z</cp:lastPrinted>
  <cp:revision>0</cp:revision>
</cp:coreProperties>
</file>